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48" w:rsidRPr="00443061" w:rsidRDefault="007E5269" w:rsidP="007E526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443061">
        <w:rPr>
          <w:rFonts w:ascii="Bookman Old Style" w:hAnsi="Bookman Old Style" w:cs="Calibri"/>
          <w:bCs/>
          <w:sz w:val="24"/>
          <w:szCs w:val="24"/>
        </w:rPr>
        <w:t>(On the letter head of the Union)</w:t>
      </w:r>
    </w:p>
    <w:p w:rsidR="007E5269" w:rsidRPr="00443061" w:rsidRDefault="007E5269" w:rsidP="00093BD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E6BCF" w:rsidRPr="00443061" w:rsidRDefault="007E6BCF" w:rsidP="007E526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E6BCF" w:rsidRPr="00443061" w:rsidRDefault="00BD5EC1" w:rsidP="00A32435">
      <w:pPr>
        <w:spacing w:after="360" w:line="36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6002C7">
        <w:rPr>
          <w:rFonts w:ascii="Bookman Old Style" w:hAnsi="Bookman Old Style"/>
          <w:b/>
          <w:bCs/>
          <w:lang w:val="en-IN"/>
        </w:rPr>
        <w:t>Annex II</w:t>
      </w:r>
    </w:p>
    <w:p w:rsidR="007E5269" w:rsidRPr="00443061" w:rsidRDefault="007E5269" w:rsidP="00A32435">
      <w:pPr>
        <w:spacing w:after="36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43061">
        <w:rPr>
          <w:rFonts w:ascii="Bookman Old Style" w:hAnsi="Bookman Old Style"/>
          <w:b/>
          <w:sz w:val="24"/>
          <w:szCs w:val="24"/>
        </w:rPr>
        <w:t xml:space="preserve">Letter of Undertaking </w:t>
      </w:r>
    </w:p>
    <w:p w:rsidR="006F5338" w:rsidRPr="000F264C" w:rsidRDefault="006F5338" w:rsidP="00A32435">
      <w:pPr>
        <w:spacing w:after="360" w:line="360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 w:rsidR="00F835A4">
        <w:rPr>
          <w:rFonts w:ascii="Bookman Old Style" w:hAnsi="Bookman Old Style" w:cs="Calibri"/>
          <w:sz w:val="24"/>
          <w:szCs w:val="24"/>
        </w:rPr>
        <w:t xml:space="preserve">   </w:t>
      </w:r>
      <w:r w:rsidRPr="000F264C">
        <w:rPr>
          <w:rFonts w:ascii="Bookman Old Style" w:hAnsi="Bookman Old Style" w:cs="Calibri"/>
          <w:sz w:val="24"/>
          <w:szCs w:val="24"/>
        </w:rPr>
        <w:t>Date:</w:t>
      </w:r>
    </w:p>
    <w:p w:rsidR="006F5338" w:rsidRPr="000F264C" w:rsidRDefault="006F5338" w:rsidP="006F5338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0F264C">
        <w:rPr>
          <w:rFonts w:ascii="Bookman Old Style" w:hAnsi="Bookman Old Style" w:cs="Calibri"/>
          <w:sz w:val="24"/>
          <w:szCs w:val="24"/>
        </w:rPr>
        <w:t>Group Head</w:t>
      </w:r>
    </w:p>
    <w:p w:rsidR="006F5338" w:rsidRPr="000F264C" w:rsidRDefault="006F5338" w:rsidP="006F5338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0F264C">
        <w:rPr>
          <w:rFonts w:ascii="Bookman Old Style" w:hAnsi="Bookman Old Style" w:cs="Calibri"/>
          <w:sz w:val="24"/>
          <w:szCs w:val="24"/>
        </w:rPr>
        <w:t>Cooperative Services</w:t>
      </w:r>
    </w:p>
    <w:p w:rsidR="006F5338" w:rsidRPr="000F264C" w:rsidRDefault="006F5338" w:rsidP="006F5338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0F264C">
        <w:rPr>
          <w:rFonts w:ascii="Bookman Old Style" w:hAnsi="Bookman Old Style" w:cs="Calibri"/>
          <w:sz w:val="24"/>
          <w:szCs w:val="24"/>
        </w:rPr>
        <w:t>National Dairy Development Board</w:t>
      </w:r>
    </w:p>
    <w:p w:rsidR="006F5338" w:rsidRPr="000F264C" w:rsidRDefault="006F5338" w:rsidP="006F5338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0F264C">
        <w:rPr>
          <w:rFonts w:ascii="Bookman Old Style" w:hAnsi="Bookman Old Style" w:cs="Calibri"/>
          <w:sz w:val="24"/>
          <w:szCs w:val="24"/>
        </w:rPr>
        <w:t>Anand – 388001 (Gujarat)</w:t>
      </w:r>
    </w:p>
    <w:p w:rsidR="007E5269" w:rsidRPr="00443061" w:rsidRDefault="007E5269" w:rsidP="006B2669">
      <w:pPr>
        <w:spacing w:before="240" w:after="240" w:line="240" w:lineRule="auto"/>
        <w:rPr>
          <w:rFonts w:ascii="Bookman Old Style" w:hAnsi="Bookman Old Style" w:cs="Calibri"/>
          <w:b/>
          <w:bCs/>
          <w:sz w:val="24"/>
          <w:szCs w:val="24"/>
        </w:rPr>
      </w:pPr>
      <w:r w:rsidRPr="00443061">
        <w:rPr>
          <w:rFonts w:ascii="Bookman Old Style" w:hAnsi="Bookman Old Style" w:cs="Calibri"/>
          <w:b/>
          <w:bCs/>
          <w:sz w:val="24"/>
          <w:szCs w:val="24"/>
        </w:rPr>
        <w:t xml:space="preserve">Sub: </w:t>
      </w:r>
      <w:r w:rsidRPr="00443061">
        <w:rPr>
          <w:rFonts w:ascii="Bookman Old Style" w:hAnsi="Bookman Old Style" w:cs="Calibri"/>
          <w:b/>
          <w:bCs/>
          <w:sz w:val="24"/>
          <w:szCs w:val="24"/>
        </w:rPr>
        <w:tab/>
        <w:t xml:space="preserve">Undertaking </w:t>
      </w:r>
      <w:r w:rsidR="003A566D" w:rsidRPr="00443061">
        <w:rPr>
          <w:rFonts w:ascii="Bookman Old Style" w:hAnsi="Bookman Old Style" w:cs="Calibri"/>
          <w:b/>
          <w:bCs/>
          <w:sz w:val="24"/>
          <w:szCs w:val="24"/>
        </w:rPr>
        <w:t>for implementation of the project under the scheme “New National Biogas and Organic Manure Programme”</w:t>
      </w:r>
      <w:r w:rsidRPr="00443061">
        <w:rPr>
          <w:rFonts w:ascii="Bookman Old Style" w:hAnsi="Bookman Old Style" w:cs="Calibri"/>
          <w:b/>
          <w:bCs/>
          <w:sz w:val="24"/>
          <w:szCs w:val="24"/>
        </w:rPr>
        <w:t xml:space="preserve">    </w:t>
      </w:r>
    </w:p>
    <w:p w:rsidR="007E5269" w:rsidRPr="00443061" w:rsidRDefault="007E5269" w:rsidP="00126D77">
      <w:pPr>
        <w:spacing w:before="360" w:after="240" w:line="240" w:lineRule="auto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>Dear Sir,</w:t>
      </w:r>
    </w:p>
    <w:p w:rsidR="007E5269" w:rsidRPr="00443061" w:rsidRDefault="003A566D" w:rsidP="00126D77">
      <w:pPr>
        <w:spacing w:after="240"/>
        <w:jc w:val="both"/>
        <w:rPr>
          <w:rFonts w:ascii="Bookman Old Style" w:hAnsi="Bookman Old Style" w:cs="Calibri"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 xml:space="preserve">With regard to the proposal for </w:t>
      </w:r>
      <w:r w:rsidR="000F11B2" w:rsidRPr="00443061">
        <w:rPr>
          <w:rFonts w:ascii="Bookman Old Style" w:hAnsi="Bookman Old Style"/>
          <w:bCs/>
          <w:sz w:val="24"/>
          <w:szCs w:val="24"/>
        </w:rPr>
        <w:t>implementation of NNBOMP</w:t>
      </w:r>
      <w:r w:rsidRPr="00443061">
        <w:rPr>
          <w:rFonts w:ascii="Bookman Old Style" w:hAnsi="Bookman Old Style"/>
          <w:bCs/>
          <w:sz w:val="24"/>
          <w:szCs w:val="24"/>
        </w:rPr>
        <w:t xml:space="preserve"> submitted by us vide our letter no. ___________ dated </w:t>
      </w:r>
      <w:r w:rsidR="00C70559" w:rsidRPr="00443061">
        <w:rPr>
          <w:rFonts w:ascii="Bookman Old Style" w:hAnsi="Bookman Old Style"/>
          <w:bCs/>
          <w:sz w:val="24"/>
          <w:szCs w:val="24"/>
        </w:rPr>
        <w:t>_________</w:t>
      </w:r>
      <w:r w:rsidRPr="00443061">
        <w:rPr>
          <w:rFonts w:ascii="Bookman Old Style" w:hAnsi="Bookman Old Style"/>
          <w:bCs/>
          <w:sz w:val="24"/>
          <w:szCs w:val="24"/>
        </w:rPr>
        <w:t xml:space="preserve">, </w:t>
      </w:r>
      <w:r w:rsidR="000F11B2" w:rsidRPr="00443061">
        <w:rPr>
          <w:rFonts w:ascii="Bookman Old Style" w:hAnsi="Bookman Old Style"/>
          <w:bCs/>
          <w:sz w:val="24"/>
          <w:szCs w:val="24"/>
        </w:rPr>
        <w:t>we hereby undertake as follows</w:t>
      </w:r>
      <w:r w:rsidRPr="00443061">
        <w:rPr>
          <w:rFonts w:ascii="Bookman Old Style" w:hAnsi="Bookman Old Style"/>
          <w:bCs/>
          <w:sz w:val="24"/>
          <w:szCs w:val="24"/>
        </w:rPr>
        <w:t>:</w:t>
      </w:r>
    </w:p>
    <w:p w:rsidR="00797CF6" w:rsidRPr="00443061" w:rsidRDefault="00797CF6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>We undertake to make all the efforts to ensure timely implementation of the project and to achieve the physical and financial targets.</w:t>
      </w:r>
    </w:p>
    <w:p w:rsidR="007C452F" w:rsidRPr="00443061" w:rsidRDefault="007C452F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>We certify that all the aspects of the Project will be in strict conformity with all standards and requirements and as per the approved specifications</w:t>
      </w:r>
      <w:r w:rsidR="004F512A" w:rsidRPr="00443061">
        <w:rPr>
          <w:rFonts w:ascii="Bookman Old Style" w:hAnsi="Bookman Old Style"/>
          <w:bCs/>
          <w:sz w:val="24"/>
          <w:szCs w:val="24"/>
        </w:rPr>
        <w:t xml:space="preserve"> provided by MNRE in its guidelines dated 30 May 2018</w:t>
      </w:r>
      <w:r w:rsidRPr="00443061">
        <w:rPr>
          <w:rFonts w:ascii="Bookman Old Style" w:hAnsi="Bookman Old Style"/>
          <w:bCs/>
          <w:sz w:val="24"/>
          <w:szCs w:val="24"/>
        </w:rPr>
        <w:t>.</w:t>
      </w:r>
    </w:p>
    <w:p w:rsidR="001C6582" w:rsidRPr="00443061" w:rsidRDefault="003A566D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 xml:space="preserve">We will seek reimbursement of the Central Financial Assistance </w:t>
      </w:r>
      <w:r w:rsidR="00BC44B1" w:rsidRPr="00443061">
        <w:rPr>
          <w:rFonts w:ascii="Bookman Old Style" w:hAnsi="Bookman Old Style"/>
          <w:bCs/>
          <w:sz w:val="24"/>
          <w:szCs w:val="24"/>
        </w:rPr>
        <w:t xml:space="preserve">(CFA) </w:t>
      </w:r>
      <w:r w:rsidRPr="00443061">
        <w:rPr>
          <w:rFonts w:ascii="Bookman Old Style" w:hAnsi="Bookman Old Style"/>
          <w:bCs/>
          <w:sz w:val="24"/>
          <w:szCs w:val="24"/>
        </w:rPr>
        <w:t>for bio-gas plant</w:t>
      </w:r>
      <w:r w:rsidR="004F512A" w:rsidRPr="00443061">
        <w:rPr>
          <w:rFonts w:ascii="Bookman Old Style" w:hAnsi="Bookman Old Style"/>
          <w:bCs/>
          <w:sz w:val="24"/>
          <w:szCs w:val="24"/>
        </w:rPr>
        <w:t>s</w:t>
      </w:r>
      <w:r w:rsidRPr="00443061">
        <w:rPr>
          <w:rFonts w:ascii="Bookman Old Style" w:hAnsi="Bookman Old Style"/>
          <w:bCs/>
          <w:sz w:val="24"/>
          <w:szCs w:val="24"/>
        </w:rPr>
        <w:t xml:space="preserve"> under </w:t>
      </w:r>
      <w:r w:rsidR="004F512A" w:rsidRPr="00443061">
        <w:rPr>
          <w:rFonts w:ascii="Bookman Old Style" w:hAnsi="Bookman Old Style"/>
          <w:bCs/>
          <w:sz w:val="24"/>
          <w:szCs w:val="24"/>
        </w:rPr>
        <w:t>NNBOMP</w:t>
      </w:r>
      <w:r w:rsidRPr="00443061">
        <w:rPr>
          <w:rFonts w:ascii="Bookman Old Style" w:hAnsi="Bookman Old Style"/>
          <w:bCs/>
          <w:sz w:val="24"/>
          <w:szCs w:val="24"/>
        </w:rPr>
        <w:t xml:space="preserve"> only after successful installation </w:t>
      </w:r>
      <w:r w:rsidR="004F512A" w:rsidRPr="00443061">
        <w:rPr>
          <w:rFonts w:ascii="Bookman Old Style" w:hAnsi="Bookman Old Style"/>
          <w:bCs/>
          <w:sz w:val="24"/>
          <w:szCs w:val="24"/>
        </w:rPr>
        <w:t xml:space="preserve">and commissioning </w:t>
      </w:r>
      <w:r w:rsidRPr="00443061">
        <w:rPr>
          <w:rFonts w:ascii="Bookman Old Style" w:hAnsi="Bookman Old Style"/>
          <w:bCs/>
          <w:sz w:val="24"/>
          <w:szCs w:val="24"/>
        </w:rPr>
        <w:t>of the plant. In the meantime, we will ensure financial resources to carry out the approved activities under the project.</w:t>
      </w:r>
    </w:p>
    <w:p w:rsidR="00DC1FD4" w:rsidRPr="00443061" w:rsidRDefault="00DC1FD4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 xml:space="preserve">We agree to submit the </w:t>
      </w:r>
      <w:r w:rsidR="000B1247">
        <w:rPr>
          <w:rFonts w:ascii="Bookman Old Style" w:hAnsi="Bookman Old Style"/>
          <w:bCs/>
          <w:sz w:val="24"/>
          <w:szCs w:val="24"/>
        </w:rPr>
        <w:t xml:space="preserve">progress report and </w:t>
      </w:r>
      <w:r w:rsidRPr="00443061">
        <w:rPr>
          <w:rFonts w:ascii="Bookman Old Style" w:hAnsi="Bookman Old Style"/>
          <w:bCs/>
          <w:sz w:val="24"/>
          <w:szCs w:val="24"/>
        </w:rPr>
        <w:t>Utilisation Certificate for the project within stipulated time.</w:t>
      </w:r>
    </w:p>
    <w:p w:rsidR="003C4DB5" w:rsidRPr="00443061" w:rsidRDefault="003C4DB5" w:rsidP="003C4DB5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>We agree that NDDB reserves the right to appoint independent concurrent auditors for the review of the Project as deemed fit.</w:t>
      </w:r>
    </w:p>
    <w:p w:rsidR="007C452F" w:rsidRPr="00443061" w:rsidRDefault="004C0661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>We shall f</w:t>
      </w:r>
      <w:r w:rsidR="001C6582" w:rsidRPr="00443061">
        <w:rPr>
          <w:rFonts w:ascii="Bookman Old Style" w:hAnsi="Bookman Old Style"/>
          <w:bCs/>
          <w:sz w:val="24"/>
          <w:szCs w:val="24"/>
        </w:rPr>
        <w:t xml:space="preserve">urnish to NDDB such information </w:t>
      </w:r>
      <w:r w:rsidR="00797CF6" w:rsidRPr="00443061">
        <w:rPr>
          <w:rFonts w:ascii="Bookman Old Style" w:hAnsi="Bookman Old Style"/>
          <w:bCs/>
          <w:sz w:val="24"/>
          <w:szCs w:val="24"/>
        </w:rPr>
        <w:t xml:space="preserve">with regard to project </w:t>
      </w:r>
      <w:r w:rsidR="001C6582" w:rsidRPr="00443061">
        <w:rPr>
          <w:rFonts w:ascii="Bookman Old Style" w:hAnsi="Bookman Old Style"/>
          <w:bCs/>
          <w:sz w:val="24"/>
          <w:szCs w:val="24"/>
        </w:rPr>
        <w:t xml:space="preserve">as required by NDDB or any agency appointed by NDDB </w:t>
      </w:r>
      <w:r w:rsidR="00FA16E6" w:rsidRPr="00443061">
        <w:rPr>
          <w:rFonts w:ascii="Bookman Old Style" w:hAnsi="Bookman Old Style"/>
          <w:bCs/>
          <w:sz w:val="24"/>
          <w:szCs w:val="24"/>
        </w:rPr>
        <w:t>from time to time</w:t>
      </w:r>
      <w:r w:rsidR="00797CF6" w:rsidRPr="00443061">
        <w:rPr>
          <w:rFonts w:ascii="Bookman Old Style" w:hAnsi="Bookman Old Style"/>
          <w:bCs/>
          <w:sz w:val="24"/>
          <w:szCs w:val="24"/>
        </w:rPr>
        <w:t>.</w:t>
      </w:r>
    </w:p>
    <w:p w:rsidR="00FA16E6" w:rsidRPr="00443061" w:rsidRDefault="00015836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lastRenderedPageBreak/>
        <w:t>We agree to allow NDDB or any agency appointed by NDDB to carry out physical verification of project accounts, project assets and any other related documents.</w:t>
      </w:r>
    </w:p>
    <w:p w:rsidR="00015836" w:rsidRPr="00443061" w:rsidRDefault="00015836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 xml:space="preserve">We agree to continue to work in close co-ordination with the beneficiaries to ensure the domestic bio-gas plants installed under project remain in </w:t>
      </w:r>
      <w:r w:rsidR="0059385E" w:rsidRPr="00443061">
        <w:rPr>
          <w:rFonts w:ascii="Bookman Old Style" w:hAnsi="Bookman Old Style"/>
          <w:bCs/>
          <w:sz w:val="24"/>
          <w:szCs w:val="24"/>
        </w:rPr>
        <w:t xml:space="preserve">successful </w:t>
      </w:r>
      <w:r w:rsidRPr="00443061">
        <w:rPr>
          <w:rFonts w:ascii="Bookman Old Style" w:hAnsi="Bookman Old Style"/>
          <w:bCs/>
          <w:sz w:val="24"/>
          <w:szCs w:val="24"/>
        </w:rPr>
        <w:t>operation beyond the project period.</w:t>
      </w:r>
    </w:p>
    <w:p w:rsidR="005108C8" w:rsidRPr="00443061" w:rsidRDefault="004C0661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>We a</w:t>
      </w:r>
      <w:r w:rsidR="005108C8" w:rsidRPr="00443061">
        <w:rPr>
          <w:rFonts w:ascii="Bookman Old Style" w:hAnsi="Bookman Old Style"/>
          <w:bCs/>
          <w:sz w:val="24"/>
          <w:szCs w:val="24"/>
        </w:rPr>
        <w:t>gree that NDDB would have the right to stipulate any other condition or call for additional documentation, as it may think necessary or expedient in such event.</w:t>
      </w:r>
      <w:bookmarkStart w:id="0" w:name="_GoBack"/>
      <w:bookmarkEnd w:id="0"/>
      <w:r w:rsidR="005108C8" w:rsidRPr="00443061">
        <w:rPr>
          <w:rFonts w:ascii="Bookman Old Style" w:hAnsi="Bookman Old Style"/>
          <w:bCs/>
          <w:sz w:val="24"/>
          <w:szCs w:val="24"/>
        </w:rPr>
        <w:t xml:space="preserve"> </w:t>
      </w:r>
    </w:p>
    <w:p w:rsidR="000F11B2" w:rsidRPr="00443061" w:rsidRDefault="00BC44B1" w:rsidP="00720A1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/>
          <w:bCs/>
          <w:sz w:val="24"/>
          <w:szCs w:val="24"/>
          <w:lang w:val="en-IN"/>
        </w:rPr>
      </w:pPr>
      <w:r w:rsidRPr="00443061">
        <w:rPr>
          <w:rFonts w:ascii="Bookman Old Style" w:hAnsi="Bookman Old Style"/>
          <w:bCs/>
          <w:sz w:val="24"/>
          <w:szCs w:val="24"/>
        </w:rPr>
        <w:t xml:space="preserve">We undertake to 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ensure Direct Benefit Transfer (DBT) of the </w:t>
      </w:r>
      <w:r w:rsidRPr="00443061">
        <w:rPr>
          <w:rFonts w:ascii="Bookman Old Style" w:hAnsi="Bookman Old Style"/>
          <w:bCs/>
          <w:sz w:val="24"/>
          <w:szCs w:val="24"/>
          <w:lang w:val="en-IN"/>
        </w:rPr>
        <w:t>CFA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 approved under NNBOMP directly into bank accounts seeded with Aadhar number of beneficiaries’ only after completion </w:t>
      </w:r>
      <w:r w:rsidR="0010127E">
        <w:rPr>
          <w:rFonts w:ascii="Bookman Old Style" w:hAnsi="Bookman Old Style"/>
          <w:bCs/>
          <w:sz w:val="24"/>
          <w:szCs w:val="24"/>
          <w:lang w:val="en-IN"/>
        </w:rPr>
        <w:t>and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 commissioning of biogas plants.</w:t>
      </w:r>
    </w:p>
    <w:p w:rsidR="000F11B2" w:rsidRPr="00443061" w:rsidRDefault="00BC44B1" w:rsidP="00720A1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/>
          <w:bCs/>
          <w:sz w:val="24"/>
          <w:szCs w:val="24"/>
          <w:lang w:val="en-IN"/>
        </w:rPr>
      </w:pPr>
      <w:r w:rsidRPr="00443061">
        <w:rPr>
          <w:rFonts w:ascii="Bookman Old Style" w:hAnsi="Bookman Old Style"/>
          <w:bCs/>
          <w:sz w:val="24"/>
          <w:szCs w:val="24"/>
        </w:rPr>
        <w:t>We undertake to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 ensure geo-tagging of the biogas plant in two phases, (i) once the project site is ready for the plant construction / installation work and (ii) again when the biogas plant is finally commissioned.  </w:t>
      </w:r>
    </w:p>
    <w:p w:rsidR="00A60515" w:rsidRDefault="00BC44B1" w:rsidP="00720A1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/>
          <w:bCs/>
          <w:sz w:val="24"/>
          <w:szCs w:val="24"/>
          <w:lang w:val="en-IN"/>
        </w:rPr>
      </w:pPr>
      <w:r w:rsidRPr="00443061">
        <w:rPr>
          <w:rFonts w:ascii="Bookman Old Style" w:hAnsi="Bookman Old Style"/>
          <w:bCs/>
          <w:sz w:val="24"/>
          <w:szCs w:val="24"/>
        </w:rPr>
        <w:t>We undertake to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 ensure that each </w:t>
      </w:r>
      <w:r w:rsidR="00443061">
        <w:rPr>
          <w:rFonts w:ascii="Bookman Old Style" w:hAnsi="Bookman Old Style"/>
          <w:bCs/>
          <w:sz w:val="24"/>
          <w:szCs w:val="24"/>
          <w:lang w:val="en-IN"/>
        </w:rPr>
        <w:t xml:space="preserve">biogas 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plant </w:t>
      </w:r>
      <w:r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shall be 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provided </w:t>
      </w:r>
      <w:r w:rsidR="00A60515">
        <w:rPr>
          <w:rFonts w:ascii="Bookman Old Style" w:hAnsi="Bookman Old Style"/>
          <w:bCs/>
          <w:sz w:val="24"/>
          <w:szCs w:val="24"/>
          <w:lang w:val="en-IN"/>
        </w:rPr>
        <w:t xml:space="preserve">an 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>unique ID number with pre-determined identification mark and date, month and year of commissioning and code for Village, District and Block / Taluka</w:t>
      </w:r>
      <w:r w:rsidR="00A60515">
        <w:rPr>
          <w:rFonts w:ascii="Bookman Old Style" w:hAnsi="Bookman Old Style"/>
          <w:bCs/>
          <w:sz w:val="24"/>
          <w:szCs w:val="24"/>
          <w:lang w:val="en-IN"/>
        </w:rPr>
        <w:t xml:space="preserve"> along with name of NDDB.</w:t>
      </w:r>
    </w:p>
    <w:p w:rsidR="000F11B2" w:rsidRPr="00443061" w:rsidRDefault="00A60515" w:rsidP="00720A1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/>
          <w:bCs/>
          <w:sz w:val="24"/>
          <w:szCs w:val="24"/>
          <w:lang w:val="en-IN"/>
        </w:rPr>
      </w:pPr>
      <w:r w:rsidRPr="00443061">
        <w:rPr>
          <w:rFonts w:ascii="Bookman Old Style" w:hAnsi="Bookman Old Style"/>
          <w:bCs/>
          <w:sz w:val="24"/>
          <w:szCs w:val="24"/>
        </w:rPr>
        <w:t>We undertake to</w:t>
      </w:r>
      <w:r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 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>record</w:t>
      </w:r>
      <w:r>
        <w:rPr>
          <w:rFonts w:ascii="Bookman Old Style" w:hAnsi="Bookman Old Style"/>
          <w:bCs/>
          <w:sz w:val="24"/>
          <w:szCs w:val="24"/>
          <w:lang w:val="en-IN"/>
        </w:rPr>
        <w:t xml:space="preserve"> the unique ID numbers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 in the </w:t>
      </w:r>
      <w:r w:rsidR="00D81241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physical 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permanent master register </w:t>
      </w:r>
      <w:r>
        <w:rPr>
          <w:rFonts w:ascii="Bookman Old Style" w:hAnsi="Bookman Old Style"/>
          <w:bCs/>
          <w:sz w:val="24"/>
          <w:szCs w:val="24"/>
          <w:lang w:val="en-IN"/>
        </w:rPr>
        <w:t xml:space="preserve">to be 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maintained by the milk union. </w:t>
      </w:r>
    </w:p>
    <w:p w:rsidR="009723FB" w:rsidRPr="00443061" w:rsidRDefault="00443061" w:rsidP="00720A1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>We undertake t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 xml:space="preserve">o ensure 100% physical verification of biogas plants and provide reports </w:t>
      </w:r>
      <w:r>
        <w:rPr>
          <w:rFonts w:ascii="Bookman Old Style" w:hAnsi="Bookman Old Style"/>
          <w:bCs/>
          <w:sz w:val="24"/>
          <w:szCs w:val="24"/>
          <w:lang w:val="en-IN"/>
        </w:rPr>
        <w:t xml:space="preserve">to NDDB </w:t>
      </w:r>
      <w:r w:rsidR="000F11B2" w:rsidRPr="00443061">
        <w:rPr>
          <w:rFonts w:ascii="Bookman Old Style" w:hAnsi="Bookman Old Style"/>
          <w:bCs/>
          <w:sz w:val="24"/>
          <w:szCs w:val="24"/>
          <w:lang w:val="en-IN"/>
        </w:rPr>
        <w:t>as and when required.</w:t>
      </w:r>
    </w:p>
    <w:p w:rsidR="004C0661" w:rsidRPr="00443061" w:rsidRDefault="004C0661" w:rsidP="004C0661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4C0661" w:rsidRPr="00443061" w:rsidRDefault="004C0661" w:rsidP="004C0661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5108C8" w:rsidRPr="00443061" w:rsidRDefault="005108C8" w:rsidP="004C0661">
      <w:pPr>
        <w:spacing w:after="0" w:line="240" w:lineRule="auto"/>
        <w:ind w:left="3600" w:firstLine="720"/>
        <w:jc w:val="both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 xml:space="preserve"> </w:t>
      </w:r>
      <w:r w:rsidRPr="00443061">
        <w:rPr>
          <w:rFonts w:ascii="Bookman Old Style" w:hAnsi="Bookman Old Style"/>
          <w:bCs/>
          <w:sz w:val="24"/>
          <w:szCs w:val="24"/>
        </w:rPr>
        <w:tab/>
      </w:r>
    </w:p>
    <w:p w:rsidR="00433E1C" w:rsidRPr="000F264C" w:rsidRDefault="00433E1C" w:rsidP="00433E1C">
      <w:pPr>
        <w:spacing w:after="240" w:line="240" w:lineRule="auto"/>
        <w:ind w:left="5040"/>
        <w:jc w:val="center"/>
        <w:rPr>
          <w:rFonts w:ascii="Bookman Old Style" w:hAnsi="Bookman Old Style" w:cs="Times New Roman"/>
          <w:sz w:val="24"/>
          <w:szCs w:val="24"/>
        </w:rPr>
      </w:pPr>
      <w:r w:rsidRPr="000F264C">
        <w:rPr>
          <w:rFonts w:ascii="Bookman Old Style" w:hAnsi="Bookman Old Style" w:cs="Times New Roman"/>
          <w:sz w:val="24"/>
          <w:szCs w:val="24"/>
        </w:rPr>
        <w:t>Yours faithfully,</w:t>
      </w:r>
    </w:p>
    <w:p w:rsidR="00433E1C" w:rsidRPr="00443061" w:rsidRDefault="000A541F" w:rsidP="00433E1C">
      <w:pPr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f</w:t>
      </w:r>
      <w:r w:rsidR="00433E1C" w:rsidRPr="00443061">
        <w:rPr>
          <w:rFonts w:ascii="Bookman Old Style" w:hAnsi="Bookman Old Style"/>
          <w:bCs/>
          <w:sz w:val="24"/>
          <w:szCs w:val="24"/>
        </w:rPr>
        <w:t>or _________ District Cooperative</w:t>
      </w:r>
    </w:p>
    <w:p w:rsidR="00433E1C" w:rsidRPr="00443061" w:rsidRDefault="00433E1C" w:rsidP="00433E1C">
      <w:pPr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  <w:r w:rsidRPr="00443061">
        <w:rPr>
          <w:rFonts w:ascii="Bookman Old Style" w:hAnsi="Bookman Old Style"/>
          <w:bCs/>
          <w:sz w:val="24"/>
          <w:szCs w:val="24"/>
        </w:rPr>
        <w:t>Milk Producers’ Union Limited</w:t>
      </w:r>
    </w:p>
    <w:p w:rsidR="00433E1C" w:rsidRPr="00443061" w:rsidRDefault="00433E1C" w:rsidP="00433E1C">
      <w:pPr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433E1C" w:rsidRDefault="00433E1C" w:rsidP="00433E1C">
      <w:pPr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433E1C" w:rsidRPr="00443061" w:rsidRDefault="00433E1C" w:rsidP="00433E1C">
      <w:pPr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433E1C" w:rsidRPr="00443061" w:rsidRDefault="00433E1C" w:rsidP="00433E1C">
      <w:pPr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433E1C" w:rsidRPr="00443061" w:rsidRDefault="00433E1C" w:rsidP="00433E1C">
      <w:pPr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7E5269" w:rsidRPr="00771BEC" w:rsidRDefault="00433E1C" w:rsidP="00433E1C">
      <w:pPr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Managing Director / </w:t>
      </w:r>
      <w:r w:rsidRPr="00443061">
        <w:rPr>
          <w:rFonts w:ascii="Bookman Old Style" w:hAnsi="Bookman Old Style"/>
          <w:bCs/>
          <w:sz w:val="24"/>
          <w:szCs w:val="24"/>
        </w:rPr>
        <w:t>General Manager</w:t>
      </w:r>
      <w:r>
        <w:rPr>
          <w:rFonts w:ascii="Bookman Old Style" w:hAnsi="Bookman Old Style"/>
          <w:bCs/>
          <w:sz w:val="24"/>
          <w:szCs w:val="24"/>
        </w:rPr>
        <w:t xml:space="preserve"> / Chief Executive Officer</w:t>
      </w:r>
    </w:p>
    <w:sectPr w:rsidR="007E5269" w:rsidRPr="00771BEC" w:rsidSect="00443061">
      <w:headerReference w:type="default" r:id="rId7"/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D6" w:rsidRDefault="008C24D6" w:rsidP="006002C7">
      <w:pPr>
        <w:spacing w:after="0" w:line="240" w:lineRule="auto"/>
      </w:pPr>
      <w:r>
        <w:separator/>
      </w:r>
    </w:p>
  </w:endnote>
  <w:endnote w:type="continuationSeparator" w:id="0">
    <w:p w:rsidR="008C24D6" w:rsidRDefault="008C24D6" w:rsidP="0060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D6" w:rsidRDefault="008C24D6" w:rsidP="006002C7">
      <w:pPr>
        <w:spacing w:after="0" w:line="240" w:lineRule="auto"/>
      </w:pPr>
      <w:r>
        <w:separator/>
      </w:r>
    </w:p>
  </w:footnote>
  <w:footnote w:type="continuationSeparator" w:id="0">
    <w:p w:rsidR="008C24D6" w:rsidRDefault="008C24D6" w:rsidP="0060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C7" w:rsidRPr="006002C7" w:rsidRDefault="006002C7" w:rsidP="006002C7">
    <w:pPr>
      <w:pStyle w:val="Header"/>
      <w:jc w:val="right"/>
      <w:rPr>
        <w:rFonts w:ascii="Bookman Old Style" w:hAnsi="Bookman Old Style"/>
        <w:b/>
        <w:bCs/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93"/>
    <w:multiLevelType w:val="hybridMultilevel"/>
    <w:tmpl w:val="5456E1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2A27"/>
    <w:multiLevelType w:val="hybridMultilevel"/>
    <w:tmpl w:val="40C8AE9C"/>
    <w:lvl w:ilvl="0" w:tplc="01DCA6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269"/>
    <w:rsid w:val="00015836"/>
    <w:rsid w:val="00016EB1"/>
    <w:rsid w:val="00093BDB"/>
    <w:rsid w:val="000A541F"/>
    <w:rsid w:val="000B1247"/>
    <w:rsid w:val="000B7F48"/>
    <w:rsid w:val="000F11B2"/>
    <w:rsid w:val="0010127E"/>
    <w:rsid w:val="00102B1F"/>
    <w:rsid w:val="00126D77"/>
    <w:rsid w:val="00153A58"/>
    <w:rsid w:val="00165338"/>
    <w:rsid w:val="001978AF"/>
    <w:rsid w:val="001C2CA3"/>
    <w:rsid w:val="001C6582"/>
    <w:rsid w:val="00206194"/>
    <w:rsid w:val="002145CF"/>
    <w:rsid w:val="00223D8E"/>
    <w:rsid w:val="00287381"/>
    <w:rsid w:val="002C5B09"/>
    <w:rsid w:val="00350281"/>
    <w:rsid w:val="003727C1"/>
    <w:rsid w:val="003A2DA4"/>
    <w:rsid w:val="003A566D"/>
    <w:rsid w:val="003C4DB5"/>
    <w:rsid w:val="00433E1C"/>
    <w:rsid w:val="00440A98"/>
    <w:rsid w:val="00443061"/>
    <w:rsid w:val="00445AB5"/>
    <w:rsid w:val="00490DC6"/>
    <w:rsid w:val="004C0661"/>
    <w:rsid w:val="004E0888"/>
    <w:rsid w:val="004F512A"/>
    <w:rsid w:val="005072E9"/>
    <w:rsid w:val="005108C8"/>
    <w:rsid w:val="00572203"/>
    <w:rsid w:val="0059385E"/>
    <w:rsid w:val="005E2FDD"/>
    <w:rsid w:val="006002C7"/>
    <w:rsid w:val="00677273"/>
    <w:rsid w:val="006B2669"/>
    <w:rsid w:val="006D1FF4"/>
    <w:rsid w:val="006F5338"/>
    <w:rsid w:val="00720A13"/>
    <w:rsid w:val="00724CC1"/>
    <w:rsid w:val="00771BEC"/>
    <w:rsid w:val="00797CF6"/>
    <w:rsid w:val="007C452F"/>
    <w:rsid w:val="007E5269"/>
    <w:rsid w:val="007E6BCF"/>
    <w:rsid w:val="00881411"/>
    <w:rsid w:val="008A5CFF"/>
    <w:rsid w:val="008C24D6"/>
    <w:rsid w:val="009005A3"/>
    <w:rsid w:val="009546F4"/>
    <w:rsid w:val="00960C72"/>
    <w:rsid w:val="009723FB"/>
    <w:rsid w:val="009E61BA"/>
    <w:rsid w:val="00A32435"/>
    <w:rsid w:val="00A60515"/>
    <w:rsid w:val="00AE4D5E"/>
    <w:rsid w:val="00B51403"/>
    <w:rsid w:val="00B97924"/>
    <w:rsid w:val="00BC44B1"/>
    <w:rsid w:val="00BD5EC1"/>
    <w:rsid w:val="00BE6FB7"/>
    <w:rsid w:val="00BF7FEA"/>
    <w:rsid w:val="00C70559"/>
    <w:rsid w:val="00C830CE"/>
    <w:rsid w:val="00D3183A"/>
    <w:rsid w:val="00D81241"/>
    <w:rsid w:val="00DA6CE5"/>
    <w:rsid w:val="00DC1FD4"/>
    <w:rsid w:val="00DF7193"/>
    <w:rsid w:val="00E17270"/>
    <w:rsid w:val="00E25F33"/>
    <w:rsid w:val="00E56922"/>
    <w:rsid w:val="00F2520D"/>
    <w:rsid w:val="00F44124"/>
    <w:rsid w:val="00F835A4"/>
    <w:rsid w:val="00FA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0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2C7"/>
  </w:style>
  <w:style w:type="paragraph" w:styleId="Footer">
    <w:name w:val="footer"/>
    <w:basedOn w:val="Normal"/>
    <w:link w:val="FooterChar"/>
    <w:uiPriority w:val="99"/>
    <w:semiHidden/>
    <w:unhideWhenUsed/>
    <w:rsid w:val="00600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T. Vinay</dc:creator>
  <cp:lastModifiedBy>KBP</cp:lastModifiedBy>
  <cp:revision>59</cp:revision>
  <dcterms:created xsi:type="dcterms:W3CDTF">2018-06-21T05:53:00Z</dcterms:created>
  <dcterms:modified xsi:type="dcterms:W3CDTF">2020-07-09T11:05:00Z</dcterms:modified>
</cp:coreProperties>
</file>